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3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#10</w:t>
      </w:r>
      <w:r>
        <w:rPr>
          <w:rFonts w:hint="eastAsia"/>
          <w:b/>
          <w:sz w:val="24"/>
          <w:lang w:val="en-US" w:eastAsia="zh-CN"/>
        </w:rPr>
        <w:t>4-bis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103498</w:t>
      </w:r>
    </w:p>
    <w:p>
      <w:pPr>
        <w:pStyle w:val="38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April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12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20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hint="eastAsia" w:ascii="Arial" w:hAnsi="Arial" w:cs="Arial"/>
          <w:b/>
          <w:bCs/>
          <w:sz w:val="22"/>
          <w:szCs w:val="22"/>
        </w:rPr>
        <w:t>2021</w:t>
      </w:r>
    </w:p>
    <w:tbl>
      <w:tblPr>
        <w:tblStyle w:val="1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3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38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3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3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38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3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38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3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3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3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3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3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3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3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2"/>
                <w:rFonts w:cs="Arial"/>
                <w:b/>
                <w:i/>
                <w:color w:val="FF0000"/>
              </w:rPr>
              <w:t>HELP</w:t>
            </w:r>
            <w:r>
              <w:rPr>
                <w:rStyle w:val="2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2"/>
                <w:rFonts w:cs="Arial"/>
                <w:i/>
              </w:rPr>
              <w:t>http://www.3gpp.org/Change-Requests</w:t>
            </w:r>
            <w:r>
              <w:rPr>
                <w:rStyle w:val="2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3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3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3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3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3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3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3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3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3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3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3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3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Clarification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/>
                <w:lang w:val="zh-CN" w:eastAsia="zh-CN"/>
              </w:rPr>
              <w:t>availability indication for IAB-DU cell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3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3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3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3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8"/>
              <w:spacing w:after="0"/>
              <w:ind w:left="100"/>
            </w:pPr>
            <w:r>
              <w:t>RAN1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3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3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3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3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NR_IAB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3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3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8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-6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3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3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3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3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3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3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38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3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3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8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3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3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3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2"/>
                <w:sz w:val="18"/>
              </w:rPr>
              <w:t>TR 21.900</w:t>
            </w:r>
            <w:r>
              <w:rPr>
                <w:rStyle w:val="2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3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3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3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3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120"/>
              <w:jc w:val="both"/>
              <w:rPr>
                <w:rFonts w:hint="default" w:ascii="Arial" w:hAnsi="Arial"/>
                <w:lang w:val="en-US"/>
              </w:rPr>
            </w:pPr>
            <w:r>
              <w:rPr>
                <w:rFonts w:ascii="Arial" w:hAnsi="Arial" w:cs="Arial"/>
                <w:sz w:val="20"/>
              </w:rPr>
              <w:t>I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n TS38.331, two parameters </w:t>
            </w:r>
            <w:r>
              <w:rPr>
                <w:rFonts w:ascii="Arial" w:hAnsi="Arial" w:cs="Arial"/>
                <w:i/>
                <w:iCs/>
                <w:sz w:val="20"/>
              </w:rPr>
              <w:t>availableCombToAddModList-r16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sz w:val="20"/>
              </w:rPr>
              <w:t>a</w:t>
            </w:r>
            <w:r>
              <w:rPr>
                <w:rFonts w:ascii="Arial" w:hAnsi="Arial" w:cs="Arial"/>
                <w:i/>
                <w:iCs/>
                <w:sz w:val="20"/>
              </w:rPr>
              <w:t>vailableCombToReleaseList-r16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 are used to add and release a list of </w:t>
            </w:r>
            <w:r>
              <w:rPr>
                <w:rFonts w:ascii="Arial" w:hAnsi="Arial" w:cs="Arial"/>
                <w:i/>
                <w:sz w:val="20"/>
                <w:szCs w:val="20"/>
                <w:lang w:eastAsia="sv-SE"/>
              </w:rPr>
              <w:t>availabilityCombinations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 for the IAB-DU’s cells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 respectively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. I.e. two parameter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s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 define which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set of 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cells of the IAB-DU is applied for available indicator of soft symbols. However, “</w:t>
            </w:r>
            <w:r>
              <w:rPr>
                <w:rFonts w:ascii="Arial" w:hAnsi="Arial" w:cs="Arial"/>
                <w:sz w:val="20"/>
                <w:lang w:val="en-US"/>
              </w:rPr>
              <w:t>a set of cells of the IAB-DU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” in TS38.213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is not associated with </w:t>
            </w:r>
            <w:r>
              <w:rPr>
                <w:rFonts w:ascii="Arial" w:hAnsi="Arial" w:cs="Arial"/>
                <w:sz w:val="20"/>
                <w:szCs w:val="20"/>
                <w:lang w:eastAsia="sv-SE"/>
              </w:rPr>
              <w:t>IAB-DU's cells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configured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by 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parameters </w:t>
            </w:r>
            <w:r>
              <w:rPr>
                <w:rFonts w:ascii="Arial" w:hAnsi="Arial" w:cs="Arial"/>
                <w:i/>
                <w:iCs/>
                <w:sz w:val="20"/>
              </w:rPr>
              <w:t>availableCombToAddModList-r16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sz w:val="20"/>
              </w:rPr>
              <w:t>a</w:t>
            </w:r>
            <w:r>
              <w:rPr>
                <w:rFonts w:ascii="Arial" w:hAnsi="Arial" w:cs="Arial"/>
                <w:i/>
                <w:iCs/>
                <w:sz w:val="20"/>
              </w:rPr>
              <w:t>vailableCombToReleaseList-r16</w:t>
            </w:r>
            <w:r>
              <w:rPr>
                <w:rFonts w:hint="eastAsia" w:ascii="Arial" w:hAnsi="Arial" w:cs="Arial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in TS38.331. Therefore, it is not clear </w:t>
            </w:r>
            <w:r>
              <w:rPr>
                <w:rFonts w:hint="default" w:ascii="Arial" w:hAnsi="Arial" w:cs="Arial"/>
                <w:color w:val="000000"/>
                <w:sz w:val="20"/>
                <w:lang w:val="en-US" w:eastAsia="zh-CN"/>
              </w:rPr>
              <w:t xml:space="preserve">which set of cells of the IAB-DU </w:t>
            </w:r>
            <w:r>
              <w:rPr>
                <w:rFonts w:hint="eastAsia" w:ascii="Arial" w:hAnsi="Arial" w:cs="Arial"/>
                <w:color w:val="000000"/>
                <w:sz w:val="20"/>
                <w:lang w:val="en-US" w:eastAsia="zh-CN"/>
              </w:rPr>
              <w:t>is</w:t>
            </w:r>
            <w:r>
              <w:rPr>
                <w:rFonts w:hint="default" w:ascii="Arial" w:hAnsi="Arial" w:cs="Arial"/>
                <w:color w:val="000000"/>
                <w:sz w:val="20"/>
                <w:lang w:val="en-US" w:eastAsia="zh-CN"/>
              </w:rPr>
              <w:t xml:space="preserve"> applied for availability indicator 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of soft symbols.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 Thus, TS38.213 needs to be modified to be consistent with TS38.331.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3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38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3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8"/>
              <w:spacing w:after="0"/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Calibri" w:cs="Arial"/>
                <w:color w:val="000000"/>
                <w:lang w:eastAsia="ko-KR"/>
              </w:rPr>
              <w:t>Specify that</w:t>
            </w:r>
            <w:r>
              <w:rPr>
                <w:rFonts w:hint="eastAsia" w:cs="Arial"/>
                <w:color w:val="000000"/>
                <w:lang w:val="en-US" w:eastAsia="zh-CN"/>
              </w:rPr>
              <w:t xml:space="preserve"> which set of cells of the IAB-DU is applied for availability indicator </w:t>
            </w:r>
            <w:r>
              <w:rPr>
                <w:rFonts w:hint="eastAsia" w:ascii="Arial" w:hAnsi="Arial" w:cs="Arial"/>
                <w:lang w:val="en-US" w:eastAsia="zh-CN"/>
              </w:rPr>
              <w:t>of soft symbols</w:t>
            </w:r>
            <w:r>
              <w:rPr>
                <w:rFonts w:cs="Arial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3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38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3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"/>
              <w:jc w:val="both"/>
            </w:pPr>
            <w:r>
              <w:rPr>
                <w:rFonts w:ascii="Arial" w:hAnsi="Arial"/>
                <w:sz w:val="20"/>
                <w:lang w:eastAsia="zh-CN"/>
              </w:rPr>
              <w:t>Incomplete specificat</w:t>
            </w:r>
            <w:r>
              <w:rPr>
                <w:rFonts w:ascii="Arial" w:hAnsi="Arial" w:eastAsia="Calibri" w:cs="Arial"/>
                <w:color w:val="000000"/>
                <w:sz w:val="20"/>
                <w:lang w:eastAsia="ko-KR"/>
              </w:rPr>
              <w:t xml:space="preserve">ion for </w:t>
            </w:r>
            <w:r>
              <w:rPr>
                <w:rFonts w:hint="eastAsia" w:ascii="Arial" w:hAnsi="Arial" w:cs="Arial"/>
                <w:color w:val="000000"/>
                <w:sz w:val="20"/>
                <w:lang w:val="en-US" w:eastAsia="zh-CN"/>
              </w:rPr>
              <w:t>available indicator for IAB-DU cells</w:t>
            </w:r>
            <w:r>
              <w:rPr>
                <w:rFonts w:ascii="Arial" w:hAnsi="Arial" w:eastAsia="Calibri" w:cs="Arial"/>
                <w:color w:val="000000"/>
                <w:sz w:val="20"/>
                <w:lang w:eastAsia="ko-KR"/>
              </w:rPr>
              <w:t xml:space="preserve">. If the change is not approved, </w:t>
            </w:r>
            <w:r>
              <w:rPr>
                <w:rFonts w:hint="eastAsia" w:ascii="Arial" w:hAnsi="Arial" w:cs="Arial"/>
                <w:color w:val="000000"/>
                <w:sz w:val="20"/>
                <w:lang w:val="en-US" w:eastAsia="zh-CN"/>
              </w:rPr>
              <w:t xml:space="preserve">it is not clear </w:t>
            </w:r>
            <w:r>
              <w:rPr>
                <w:rFonts w:hint="default" w:ascii="Arial" w:hAnsi="Arial" w:cs="Arial"/>
                <w:color w:val="000000"/>
                <w:sz w:val="20"/>
                <w:lang w:val="en-US" w:eastAsia="zh-CN"/>
              </w:rPr>
              <w:t xml:space="preserve">which set of cells of the IAB-DU </w:t>
            </w:r>
            <w:r>
              <w:rPr>
                <w:rFonts w:hint="eastAsia" w:ascii="Arial" w:hAnsi="Arial" w:cs="Arial"/>
                <w:color w:val="000000"/>
                <w:sz w:val="20"/>
                <w:lang w:val="en-US" w:eastAsia="zh-CN"/>
              </w:rPr>
              <w:t>is</w:t>
            </w:r>
            <w:r>
              <w:rPr>
                <w:rFonts w:hint="default" w:ascii="Arial" w:hAnsi="Arial" w:cs="Arial"/>
                <w:color w:val="000000"/>
                <w:sz w:val="20"/>
                <w:lang w:val="en-US" w:eastAsia="zh-CN"/>
              </w:rPr>
              <w:t xml:space="preserve"> applied for availability indicator 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of soft symbols</w:t>
            </w:r>
            <w:r>
              <w:rPr>
                <w:rFonts w:ascii="Arial" w:hAnsi="Arial" w:eastAsia="Calibri" w:cs="Arial"/>
                <w:color w:val="000000"/>
                <w:sz w:val="20"/>
                <w:lang w:eastAsia="ko-K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3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3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3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3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3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3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3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3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3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38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3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3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3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8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3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3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3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8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3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3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3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8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3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38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3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8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3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3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3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8"/>
              <w:spacing w:after="0"/>
              <w:ind w:left="100"/>
            </w:pPr>
          </w:p>
        </w:tc>
      </w:tr>
    </w:tbl>
    <w:p>
      <w:pPr>
        <w:pStyle w:val="6"/>
        <w:numPr>
          <w:ilvl w:val="-1"/>
          <w:numId w:val="0"/>
        </w:numPr>
        <w:ind w:left="0" w:firstLine="0"/>
        <w:rPr>
          <w:rFonts w:hint="eastAsia" w:eastAsia="宋体"/>
          <w:sz w:val="36"/>
          <w:szCs w:val="36"/>
          <w:lang w:val="en-US" w:eastAsia="zh-CN"/>
        </w:rPr>
      </w:pPr>
      <w:bookmarkStart w:id="0" w:name="_Toc36026723"/>
      <w:bookmarkStart w:id="1" w:name="_Toc45107562"/>
      <w:bookmarkStart w:id="2" w:name="_Toc29230464"/>
      <w:bookmarkStart w:id="3" w:name="_Toc19798677"/>
      <w:bookmarkStart w:id="4" w:name="_Toc29327777"/>
      <w:bookmarkStart w:id="5" w:name="_Toc446967021"/>
      <w:bookmarkStart w:id="6" w:name="_Toc29326627"/>
    </w:p>
    <w:p>
      <w:pPr>
        <w:pStyle w:val="6"/>
        <w:numPr>
          <w:ilvl w:val="-1"/>
          <w:numId w:val="0"/>
        </w:numPr>
        <w:ind w:left="0" w:firstLine="0"/>
        <w:rPr>
          <w:sz w:val="36"/>
          <w:szCs w:val="36"/>
        </w:rPr>
      </w:pPr>
      <w:bookmarkStart w:id="7" w:name="_GoBack"/>
      <w:bookmarkEnd w:id="7"/>
      <w:r>
        <w:rPr>
          <w:rFonts w:hint="eastAsia" w:eastAsia="宋体"/>
          <w:sz w:val="36"/>
          <w:szCs w:val="36"/>
          <w:lang w:val="en-US" w:eastAsia="zh-CN"/>
        </w:rPr>
        <w:t>14</w:t>
      </w:r>
      <w:r>
        <w:rPr>
          <w:sz w:val="36"/>
          <w:szCs w:val="36"/>
        </w:rPr>
        <w:tab/>
      </w:r>
      <w:r>
        <w:rPr>
          <w:rFonts w:hint="eastAsia" w:eastAsia="宋体"/>
          <w:sz w:val="36"/>
          <w:szCs w:val="36"/>
          <w:lang w:val="en-US" w:eastAsia="zh-CN"/>
        </w:rPr>
        <w:t xml:space="preserve">   </w:t>
      </w:r>
      <w:r>
        <w:rPr>
          <w:sz w:val="36"/>
          <w:szCs w:val="36"/>
        </w:rPr>
        <w:t>Integrated access-backhaul operatio</w:t>
      </w:r>
      <w:r>
        <w:rPr>
          <w:rFonts w:hint="eastAsia" w:eastAsia="宋体"/>
          <w:sz w:val="36"/>
          <w:szCs w:val="36"/>
          <w:lang w:val="en-US" w:eastAsia="zh-CN"/>
        </w:rPr>
        <w:t>n</w:t>
      </w:r>
      <w:bookmarkEnd w:id="0"/>
      <w:bookmarkEnd w:id="1"/>
      <w:bookmarkEnd w:id="2"/>
    </w:p>
    <w:p>
      <w:pPr>
        <w:jc w:val="center"/>
        <w:rPr>
          <w:b/>
          <w:iCs/>
          <w:color w:val="FF0000"/>
          <w:sz w:val="28"/>
          <w:szCs w:val="28"/>
        </w:rPr>
      </w:pPr>
      <w:r>
        <w:rPr>
          <w:b/>
          <w:iCs/>
          <w:color w:val="FF0000"/>
          <w:sz w:val="28"/>
          <w:szCs w:val="28"/>
        </w:rPr>
        <w:t>&lt;Unchanged parts are omitted&gt;</w:t>
      </w:r>
    </w:p>
    <w:p>
      <w:pPr>
        <w:rPr>
          <w:sz w:val="20"/>
          <w:lang w:val="en-US"/>
        </w:rPr>
      </w:pPr>
      <w:r>
        <w:rPr>
          <w:sz w:val="20"/>
          <w:lang w:eastAsia="zh-CN"/>
        </w:rPr>
        <w:t xml:space="preserve">If an IAB-node is provided an </w:t>
      </w:r>
      <w:r>
        <w:rPr>
          <w:rStyle w:val="41"/>
          <w:lang w:eastAsia="zh-CN"/>
        </w:rPr>
        <w:t>AvailabilityIndicator</w:t>
      </w:r>
      <w:r>
        <w:rPr>
          <w:sz w:val="20"/>
          <w:lang w:val="en-US"/>
        </w:rPr>
        <w:t xml:space="preserve">, the IAB-node is provided </w:t>
      </w:r>
      <w:r>
        <w:rPr>
          <w:sz w:val="20"/>
        </w:rPr>
        <w:t xml:space="preserve">an </w:t>
      </w:r>
      <w:r>
        <w:rPr>
          <w:sz w:val="20"/>
          <w:lang w:val="en-US"/>
        </w:rPr>
        <w:t xml:space="preserve">AI-RNTI by </w:t>
      </w:r>
      <w:r>
        <w:rPr>
          <w:i/>
          <w:sz w:val="20"/>
          <w:lang w:val="en-US"/>
        </w:rPr>
        <w:t>ai-RNTI</w:t>
      </w:r>
      <w:r>
        <w:rPr>
          <w:sz w:val="20"/>
          <w:lang w:val="en-US"/>
        </w:rPr>
        <w:t xml:space="preserve"> and a payload size of a DCI format 2_5 by </w:t>
      </w:r>
      <w:r>
        <w:rPr>
          <w:i/>
          <w:sz w:val="20"/>
        </w:rPr>
        <w:t>dci-PayloadSizeAI</w:t>
      </w:r>
      <w:r>
        <w:rPr>
          <w:sz w:val="20"/>
          <w:lang w:val="en-US"/>
        </w:rPr>
        <w:t xml:space="preserve">. </w:t>
      </w:r>
      <w:r>
        <w:rPr>
          <w:sz w:val="20"/>
        </w:rPr>
        <w:t xml:space="preserve">The IAB-node is also provided a search space set configuration, by </w:t>
      </w:r>
      <w:r>
        <w:rPr>
          <w:bCs/>
          <w:i/>
          <w:iCs/>
          <w:sz w:val="20"/>
          <w:lang w:eastAsia="zh-CN"/>
        </w:rPr>
        <w:t>SearchSpace</w:t>
      </w:r>
      <w:r>
        <w:rPr>
          <w:bCs/>
          <w:iCs/>
          <w:sz w:val="20"/>
          <w:lang w:eastAsia="zh-CN"/>
        </w:rPr>
        <w:t>, for monitoring PDCCH.</w:t>
      </w:r>
    </w:p>
    <w:p>
      <w:pPr>
        <w:rPr>
          <w:sz w:val="20"/>
          <w:lang w:val="en-US"/>
        </w:rPr>
      </w:pPr>
      <w:r>
        <w:rPr>
          <w:sz w:val="20"/>
          <w:lang w:val="en-US"/>
        </w:rPr>
        <w:t>For each cell of an IAB-DU</w:t>
      </w:r>
      <w:r>
        <w:rPr>
          <w:rFonts w:hint="eastAsia"/>
          <w:sz w:val="20"/>
          <w:lang w:val="en-US" w:eastAsia="zh-CN"/>
        </w:rPr>
        <w:t xml:space="preserve"> </w:t>
      </w:r>
      <w:r>
        <w:rPr>
          <w:rFonts w:hint="eastAsia"/>
          <w:color w:val="FF0000"/>
          <w:sz w:val="20"/>
          <w:u w:val="single"/>
          <w:lang w:val="en-US" w:eastAsia="zh-CN"/>
        </w:rPr>
        <w:t>that is included</w:t>
      </w:r>
      <w:r>
        <w:rPr>
          <w:strike w:val="0"/>
          <w:color w:val="FF0000"/>
          <w:sz w:val="20"/>
          <w:lang w:val="en-US"/>
        </w:rPr>
        <w:t xml:space="preserve"> </w:t>
      </w:r>
      <w:r>
        <w:rPr>
          <w:strike w:val="0"/>
          <w:color w:val="000000" w:themeColor="text1"/>
          <w:sz w:val="20"/>
          <w:lang w:val="en-US"/>
          <w14:textFill>
            <w14:solidFill>
              <w14:schemeClr w14:val="tx1"/>
            </w14:solidFill>
          </w14:textFill>
        </w:rPr>
        <w:t>in a set of cells of the IAB-DU</w:t>
      </w:r>
      <w:r>
        <w:rPr>
          <w:rFonts w:hint="eastAsia"/>
          <w:strike w:val="0"/>
          <w:color w:val="FF0000"/>
          <w:sz w:val="20"/>
          <w:lang w:val="en-US" w:eastAsia="zh-CN"/>
        </w:rPr>
        <w:t xml:space="preserve"> </w:t>
      </w:r>
      <w:r>
        <w:rPr>
          <w:rFonts w:hint="eastAsia"/>
          <w:color w:val="FF0000"/>
          <w:sz w:val="20"/>
          <w:u w:val="single"/>
          <w:lang w:val="en-US" w:eastAsia="zh-CN"/>
        </w:rPr>
        <w:t>configured to the</w:t>
      </w:r>
      <w:r>
        <w:rPr>
          <w:color w:val="FF0000"/>
          <w:sz w:val="20"/>
          <w:u w:val="single"/>
          <w:lang w:eastAsia="zh-CN"/>
        </w:rPr>
        <w:t xml:space="preserve"> IAB-node</w:t>
      </w:r>
      <w:r>
        <w:rPr>
          <w:rFonts w:hint="eastAsia"/>
          <w:color w:val="FF0000"/>
          <w:sz w:val="20"/>
          <w:u w:val="single"/>
          <w:lang w:val="en-US" w:eastAsia="zh-CN"/>
        </w:rPr>
        <w:t xml:space="preserve"> by </w:t>
      </w:r>
      <w:r>
        <w:rPr>
          <w:i/>
          <w:iCs/>
          <w:color w:val="FF0000"/>
          <w:sz w:val="20"/>
          <w:u w:val="single"/>
        </w:rPr>
        <w:t>availableCombToAddModList-r16</w:t>
      </w:r>
      <w:r>
        <w:rPr>
          <w:rFonts w:hint="eastAsia"/>
          <w:i/>
          <w:iCs/>
          <w:color w:val="FF0000"/>
          <w:sz w:val="20"/>
          <w:u w:val="single"/>
          <w:lang w:val="en-US" w:eastAsia="zh-CN"/>
        </w:rPr>
        <w:t xml:space="preserve"> </w:t>
      </w:r>
      <w:r>
        <w:rPr>
          <w:rFonts w:hint="eastAsia"/>
          <w:color w:val="FF0000"/>
          <w:sz w:val="20"/>
          <w:u w:val="single"/>
          <w:lang w:val="en-US" w:eastAsia="zh-CN"/>
        </w:rPr>
        <w:t>and</w:t>
      </w:r>
      <w:r>
        <w:rPr>
          <w:rFonts w:hint="eastAsia"/>
          <w:i/>
          <w:iCs/>
          <w:color w:val="FF0000"/>
          <w:sz w:val="20"/>
          <w:u w:val="single"/>
          <w:lang w:val="en-US" w:eastAsia="zh-CN"/>
        </w:rPr>
        <w:t xml:space="preserve"> </w:t>
      </w:r>
      <w:r>
        <w:rPr>
          <w:i/>
          <w:iCs/>
          <w:color w:val="FF0000"/>
          <w:sz w:val="20"/>
          <w:u w:val="single"/>
        </w:rPr>
        <w:t>availableCombToReleaseList-r16</w:t>
      </w:r>
      <w:r>
        <w:rPr>
          <w:sz w:val="20"/>
          <w:lang w:val="en-US"/>
        </w:rPr>
        <w:t xml:space="preserve">, the IAB-DU can be provided: </w:t>
      </w:r>
    </w:p>
    <w:p>
      <w:pPr>
        <w:pStyle w:val="4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</w:r>
      <w:r>
        <w:rPr>
          <w:sz w:val="20"/>
        </w:rPr>
        <w:t xml:space="preserve">an identity of the IAB-DU cell by </w:t>
      </w:r>
      <w:r>
        <w:rPr>
          <w:i/>
          <w:iCs/>
          <w:sz w:val="20"/>
        </w:rPr>
        <w:t>iab-DU-CellIdentity</w:t>
      </w:r>
    </w:p>
    <w:p>
      <w:pPr>
        <w:pStyle w:val="4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</w:r>
      <w:r>
        <w:rPr>
          <w:sz w:val="20"/>
        </w:rPr>
        <w:t xml:space="preserve">a location of an availability indicator (AI) index field in DCI format 2_5 by </w:t>
      </w:r>
      <w:r>
        <w:rPr>
          <w:rStyle w:val="41"/>
          <w:lang w:eastAsia="zh-CN"/>
        </w:rPr>
        <w:t>positionInDCI-AI</w:t>
      </w:r>
    </w:p>
    <w:p>
      <w:pPr>
        <w:pStyle w:val="4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</w:r>
      <w:r>
        <w:rPr>
          <w:sz w:val="20"/>
        </w:rPr>
        <w:t xml:space="preserve">a set of availability combinations by </w:t>
      </w:r>
      <w:r>
        <w:rPr>
          <w:rStyle w:val="41"/>
          <w:lang w:eastAsia="zh-CN"/>
        </w:rPr>
        <w:t>availabilityCombinations</w:t>
      </w:r>
      <w:r>
        <w:rPr>
          <w:sz w:val="20"/>
        </w:rPr>
        <w:t>, where each availability combination in the set of availability combinations includes</w:t>
      </w:r>
    </w:p>
    <w:p>
      <w:pPr>
        <w:pStyle w:val="42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</w:r>
      <w:r>
        <w:rPr>
          <w:rStyle w:val="41"/>
          <w:szCs w:val="20"/>
          <w:lang w:eastAsia="zh-CN"/>
        </w:rPr>
        <w:t>resourceAvailability</w:t>
      </w:r>
      <w:r>
        <w:rPr>
          <w:sz w:val="20"/>
        </w:rPr>
        <w:t xml:space="preserve"> indicating availability of soft symbols in one or more slots for the IAB-DU cell, and </w:t>
      </w:r>
    </w:p>
    <w:p>
      <w:pPr>
        <w:pStyle w:val="42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</w:r>
      <w:r>
        <w:rPr>
          <w:sz w:val="20"/>
        </w:rPr>
        <w:t xml:space="preserve">a mapping for the soft symbol availability combinations provided by </w:t>
      </w:r>
      <w:r>
        <w:rPr>
          <w:i/>
          <w:iCs/>
          <w:sz w:val="20"/>
          <w:lang w:val="en-US"/>
        </w:rPr>
        <w:t>resource</w:t>
      </w:r>
      <w:r>
        <w:rPr>
          <w:rStyle w:val="41"/>
          <w:szCs w:val="20"/>
          <w:lang w:eastAsia="zh-CN"/>
        </w:rPr>
        <w:t>Availability</w:t>
      </w:r>
      <w:r>
        <w:rPr>
          <w:sz w:val="20"/>
        </w:rPr>
        <w:t xml:space="preserve"> to a corresponding AI index field value in DCI format 2_5 provided by </w:t>
      </w:r>
      <w:r>
        <w:rPr>
          <w:rStyle w:val="41"/>
          <w:szCs w:val="20"/>
          <w:lang w:eastAsia="zh-CN"/>
        </w:rPr>
        <w:t>availabilityCombinationId</w:t>
      </w:r>
    </w:p>
    <w:p>
      <w:pPr>
        <w:rPr>
          <w:sz w:val="20"/>
        </w:rPr>
      </w:pPr>
      <w:r>
        <w:rPr>
          <w:sz w:val="20"/>
        </w:rPr>
        <w:t xml:space="preserve">The IAB-DU can assume a same SCS configuration for </w:t>
      </w:r>
      <w:r>
        <w:rPr>
          <w:i/>
          <w:sz w:val="20"/>
        </w:rPr>
        <w:t>availabilityCombinations</w:t>
      </w:r>
      <w:r>
        <w:rPr>
          <w:sz w:val="20"/>
        </w:rPr>
        <w:t xml:space="preserve"> for a cell as an SCS configuration provided by </w:t>
      </w:r>
      <w:r>
        <w:rPr>
          <w:i/>
          <w:iCs/>
          <w:sz w:val="20"/>
        </w:rPr>
        <w:t>gNB-DU Cell Resource Configuration</w:t>
      </w:r>
      <w:r>
        <w:rPr>
          <w:sz w:val="20"/>
        </w:rPr>
        <w:t xml:space="preserve"> for the cell.</w:t>
      </w:r>
    </w:p>
    <w:p>
      <w:pPr>
        <w:jc w:val="center"/>
        <w:rPr>
          <w:b/>
          <w:iCs/>
          <w:color w:val="FF0000"/>
          <w:sz w:val="28"/>
          <w:szCs w:val="28"/>
        </w:rPr>
      </w:pPr>
      <w:r>
        <w:rPr>
          <w:b/>
          <w:iCs/>
          <w:color w:val="FF0000"/>
          <w:sz w:val="28"/>
          <w:szCs w:val="28"/>
        </w:rPr>
        <w:t>&lt;Unchanged parts are omitted&gt;</w:t>
      </w:r>
      <w:bookmarkEnd w:id="3"/>
      <w:bookmarkEnd w:id="4"/>
      <w:bookmarkEnd w:id="5"/>
      <w:bookmarkEnd w:id="6"/>
    </w:p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</w:p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</w:p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</w:p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</w:p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</w:p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</w:p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</w:p>
    <w:p>
      <w:pPr>
        <w:spacing w:beforeLines="0" w:afterLines="0"/>
        <w:jc w:val="left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1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34B193"/>
    <w:multiLevelType w:val="singleLevel"/>
    <w:tmpl w:val="AB34B193"/>
    <w:lvl w:ilvl="0" w:tentative="0">
      <w:start w:val="1"/>
      <w:numFmt w:val="decimal"/>
      <w:pStyle w:val="24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1">
    <w:nsid w:val="B15F0BA4"/>
    <w:multiLevelType w:val="singleLevel"/>
    <w:tmpl w:val="B15F0BA4"/>
    <w:lvl w:ilvl="0" w:tentative="0">
      <w:start w:val="1"/>
      <w:numFmt w:val="bullet"/>
      <w:pStyle w:val="28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25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0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08BE803"/>
    <w:multiLevelType w:val="singleLevel"/>
    <w:tmpl w:val="508BE803"/>
    <w:lvl w:ilvl="0" w:tentative="0">
      <w:start w:val="1"/>
      <w:numFmt w:val="bullet"/>
      <w:pStyle w:val="29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6">
    <w:nsid w:val="7DC436CD"/>
    <w:multiLevelType w:val="singleLevel"/>
    <w:tmpl w:val="7DC436CD"/>
    <w:lvl w:ilvl="0" w:tentative="0">
      <w:start w:val="1"/>
      <w:numFmt w:val="bullet"/>
      <w:pStyle w:val="26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01583"/>
    <w:rsid w:val="00131276"/>
    <w:rsid w:val="001438ED"/>
    <w:rsid w:val="00172A27"/>
    <w:rsid w:val="00195A3C"/>
    <w:rsid w:val="00213BB6"/>
    <w:rsid w:val="00260149"/>
    <w:rsid w:val="003270E2"/>
    <w:rsid w:val="00463C47"/>
    <w:rsid w:val="004B042F"/>
    <w:rsid w:val="004B0544"/>
    <w:rsid w:val="00524B78"/>
    <w:rsid w:val="005B065E"/>
    <w:rsid w:val="00830169"/>
    <w:rsid w:val="00897D1C"/>
    <w:rsid w:val="0096044C"/>
    <w:rsid w:val="009B66B6"/>
    <w:rsid w:val="00BF060B"/>
    <w:rsid w:val="00C6793D"/>
    <w:rsid w:val="00CA568F"/>
    <w:rsid w:val="00CB5143"/>
    <w:rsid w:val="00D17949"/>
    <w:rsid w:val="00D6168B"/>
    <w:rsid w:val="00DA4B6A"/>
    <w:rsid w:val="00EB4EC5"/>
    <w:rsid w:val="00EB4F8D"/>
    <w:rsid w:val="00FC22D6"/>
    <w:rsid w:val="00FD2DE4"/>
    <w:rsid w:val="00FE3CF1"/>
    <w:rsid w:val="01764F01"/>
    <w:rsid w:val="01A87802"/>
    <w:rsid w:val="01CC3E95"/>
    <w:rsid w:val="0207518B"/>
    <w:rsid w:val="024D6B6A"/>
    <w:rsid w:val="029B04E7"/>
    <w:rsid w:val="03073BDC"/>
    <w:rsid w:val="03185442"/>
    <w:rsid w:val="033F44DC"/>
    <w:rsid w:val="0555228E"/>
    <w:rsid w:val="059D1E39"/>
    <w:rsid w:val="05E078B3"/>
    <w:rsid w:val="077D0583"/>
    <w:rsid w:val="079724D0"/>
    <w:rsid w:val="082A352F"/>
    <w:rsid w:val="08C349D1"/>
    <w:rsid w:val="08E16393"/>
    <w:rsid w:val="08EA763A"/>
    <w:rsid w:val="09DD707B"/>
    <w:rsid w:val="09F67CD5"/>
    <w:rsid w:val="0A5B01BE"/>
    <w:rsid w:val="0A797C30"/>
    <w:rsid w:val="0B46017D"/>
    <w:rsid w:val="0B8723DA"/>
    <w:rsid w:val="0B9E71DF"/>
    <w:rsid w:val="0C9D30C2"/>
    <w:rsid w:val="0D9D65F4"/>
    <w:rsid w:val="0E172BD0"/>
    <w:rsid w:val="0E173D9D"/>
    <w:rsid w:val="0E8B1A63"/>
    <w:rsid w:val="0EC915C0"/>
    <w:rsid w:val="0FC52562"/>
    <w:rsid w:val="10A50104"/>
    <w:rsid w:val="11122A47"/>
    <w:rsid w:val="115B3410"/>
    <w:rsid w:val="119D7849"/>
    <w:rsid w:val="1242135C"/>
    <w:rsid w:val="12E44855"/>
    <w:rsid w:val="13A1683F"/>
    <w:rsid w:val="14DA3DA1"/>
    <w:rsid w:val="15052CF1"/>
    <w:rsid w:val="158B799D"/>
    <w:rsid w:val="15A0296E"/>
    <w:rsid w:val="169D643D"/>
    <w:rsid w:val="16C417D5"/>
    <w:rsid w:val="17155857"/>
    <w:rsid w:val="17950508"/>
    <w:rsid w:val="179F1413"/>
    <w:rsid w:val="185E0AB0"/>
    <w:rsid w:val="188F4114"/>
    <w:rsid w:val="18E528E8"/>
    <w:rsid w:val="19010C43"/>
    <w:rsid w:val="190565D7"/>
    <w:rsid w:val="19084C73"/>
    <w:rsid w:val="192665B8"/>
    <w:rsid w:val="19EA1C79"/>
    <w:rsid w:val="1A054259"/>
    <w:rsid w:val="1A3E3FD2"/>
    <w:rsid w:val="1A900408"/>
    <w:rsid w:val="1B001645"/>
    <w:rsid w:val="1B3F00A2"/>
    <w:rsid w:val="1B7F6005"/>
    <w:rsid w:val="1C132CB9"/>
    <w:rsid w:val="1CCC26CA"/>
    <w:rsid w:val="1E945211"/>
    <w:rsid w:val="1E9D6342"/>
    <w:rsid w:val="204E6676"/>
    <w:rsid w:val="20642183"/>
    <w:rsid w:val="212042BB"/>
    <w:rsid w:val="218D690B"/>
    <w:rsid w:val="2195668B"/>
    <w:rsid w:val="21B75A2D"/>
    <w:rsid w:val="21BE5AD4"/>
    <w:rsid w:val="221241FE"/>
    <w:rsid w:val="22186699"/>
    <w:rsid w:val="22717051"/>
    <w:rsid w:val="23081A49"/>
    <w:rsid w:val="234C3925"/>
    <w:rsid w:val="245C52F8"/>
    <w:rsid w:val="2463385E"/>
    <w:rsid w:val="24785134"/>
    <w:rsid w:val="249D68EB"/>
    <w:rsid w:val="250D568B"/>
    <w:rsid w:val="25134332"/>
    <w:rsid w:val="257E508F"/>
    <w:rsid w:val="26BF5712"/>
    <w:rsid w:val="27AB7429"/>
    <w:rsid w:val="27AF16DA"/>
    <w:rsid w:val="285C053E"/>
    <w:rsid w:val="29FA7F26"/>
    <w:rsid w:val="2B49751C"/>
    <w:rsid w:val="2B774832"/>
    <w:rsid w:val="2C5B2EC9"/>
    <w:rsid w:val="2CB8512C"/>
    <w:rsid w:val="2CDF4EA7"/>
    <w:rsid w:val="2DDB7390"/>
    <w:rsid w:val="2E0B71A3"/>
    <w:rsid w:val="2E565144"/>
    <w:rsid w:val="2EB14206"/>
    <w:rsid w:val="2EF95F20"/>
    <w:rsid w:val="2F1251F2"/>
    <w:rsid w:val="2F8116F2"/>
    <w:rsid w:val="30962F3E"/>
    <w:rsid w:val="30D17E68"/>
    <w:rsid w:val="30FF2795"/>
    <w:rsid w:val="312D28B6"/>
    <w:rsid w:val="318F7EFC"/>
    <w:rsid w:val="31F036E6"/>
    <w:rsid w:val="329A6ACE"/>
    <w:rsid w:val="32D90777"/>
    <w:rsid w:val="3301415B"/>
    <w:rsid w:val="334C1A6F"/>
    <w:rsid w:val="33F20E3B"/>
    <w:rsid w:val="345D6540"/>
    <w:rsid w:val="3471669F"/>
    <w:rsid w:val="360B1D73"/>
    <w:rsid w:val="361F3323"/>
    <w:rsid w:val="36D262F5"/>
    <w:rsid w:val="36E93760"/>
    <w:rsid w:val="37187BEB"/>
    <w:rsid w:val="37222E3D"/>
    <w:rsid w:val="3784394E"/>
    <w:rsid w:val="388A2DE1"/>
    <w:rsid w:val="38AE3BB0"/>
    <w:rsid w:val="3ACB5746"/>
    <w:rsid w:val="3BB20883"/>
    <w:rsid w:val="3D172C4D"/>
    <w:rsid w:val="3D53448E"/>
    <w:rsid w:val="3DA8275C"/>
    <w:rsid w:val="3DF0568B"/>
    <w:rsid w:val="3E441C7D"/>
    <w:rsid w:val="3FA661A3"/>
    <w:rsid w:val="3FA70F37"/>
    <w:rsid w:val="3FC322C6"/>
    <w:rsid w:val="3FC956FF"/>
    <w:rsid w:val="3FD94F77"/>
    <w:rsid w:val="3FEA0478"/>
    <w:rsid w:val="402220F3"/>
    <w:rsid w:val="40A36A71"/>
    <w:rsid w:val="410E4736"/>
    <w:rsid w:val="4133330A"/>
    <w:rsid w:val="415342D8"/>
    <w:rsid w:val="41D3631F"/>
    <w:rsid w:val="41F466FD"/>
    <w:rsid w:val="423D5B37"/>
    <w:rsid w:val="428B32C7"/>
    <w:rsid w:val="429E7CA8"/>
    <w:rsid w:val="42A67A24"/>
    <w:rsid w:val="42D846B9"/>
    <w:rsid w:val="440D25AB"/>
    <w:rsid w:val="440D5045"/>
    <w:rsid w:val="44AA2537"/>
    <w:rsid w:val="44C659AB"/>
    <w:rsid w:val="44F37EBE"/>
    <w:rsid w:val="45385570"/>
    <w:rsid w:val="45915C76"/>
    <w:rsid w:val="45BE6191"/>
    <w:rsid w:val="460C5979"/>
    <w:rsid w:val="462F6229"/>
    <w:rsid w:val="46D33878"/>
    <w:rsid w:val="47384688"/>
    <w:rsid w:val="47C01792"/>
    <w:rsid w:val="4808150F"/>
    <w:rsid w:val="48DA53BC"/>
    <w:rsid w:val="499943C1"/>
    <w:rsid w:val="49E9233D"/>
    <w:rsid w:val="4AAD1944"/>
    <w:rsid w:val="4AC31003"/>
    <w:rsid w:val="4AE93159"/>
    <w:rsid w:val="4BD0339A"/>
    <w:rsid w:val="4BD45173"/>
    <w:rsid w:val="4C302A1D"/>
    <w:rsid w:val="4D462159"/>
    <w:rsid w:val="4D5C5FAC"/>
    <w:rsid w:val="4DC605B6"/>
    <w:rsid w:val="4DEC0985"/>
    <w:rsid w:val="4E06555F"/>
    <w:rsid w:val="4E27683A"/>
    <w:rsid w:val="4EB80640"/>
    <w:rsid w:val="4F2765B1"/>
    <w:rsid w:val="4F285975"/>
    <w:rsid w:val="4FBC4859"/>
    <w:rsid w:val="50292DAE"/>
    <w:rsid w:val="51796EDE"/>
    <w:rsid w:val="51867298"/>
    <w:rsid w:val="51DB13C6"/>
    <w:rsid w:val="51E97A70"/>
    <w:rsid w:val="52195EDF"/>
    <w:rsid w:val="52313387"/>
    <w:rsid w:val="52C15317"/>
    <w:rsid w:val="52E04D27"/>
    <w:rsid w:val="530E3985"/>
    <w:rsid w:val="532049AA"/>
    <w:rsid w:val="537C393E"/>
    <w:rsid w:val="539A390F"/>
    <w:rsid w:val="53DB3477"/>
    <w:rsid w:val="54AF6B42"/>
    <w:rsid w:val="55612587"/>
    <w:rsid w:val="55DD6F2A"/>
    <w:rsid w:val="56486A48"/>
    <w:rsid w:val="56E23970"/>
    <w:rsid w:val="571238D5"/>
    <w:rsid w:val="575E1504"/>
    <w:rsid w:val="577A3C7D"/>
    <w:rsid w:val="578F220A"/>
    <w:rsid w:val="57FC07D9"/>
    <w:rsid w:val="58500F22"/>
    <w:rsid w:val="58750BBA"/>
    <w:rsid w:val="588B6ED5"/>
    <w:rsid w:val="591C0009"/>
    <w:rsid w:val="5ACF0F3A"/>
    <w:rsid w:val="5B967B3B"/>
    <w:rsid w:val="5BC5547F"/>
    <w:rsid w:val="5C4C7245"/>
    <w:rsid w:val="5C6B1600"/>
    <w:rsid w:val="5C921AD0"/>
    <w:rsid w:val="5DF07A97"/>
    <w:rsid w:val="5DFD51DB"/>
    <w:rsid w:val="5E0D36E5"/>
    <w:rsid w:val="5ED907FA"/>
    <w:rsid w:val="607C3753"/>
    <w:rsid w:val="60C30855"/>
    <w:rsid w:val="61421EFD"/>
    <w:rsid w:val="615C5041"/>
    <w:rsid w:val="617A032C"/>
    <w:rsid w:val="621606EA"/>
    <w:rsid w:val="64857194"/>
    <w:rsid w:val="648E6735"/>
    <w:rsid w:val="664805B8"/>
    <w:rsid w:val="66DE161A"/>
    <w:rsid w:val="690F418B"/>
    <w:rsid w:val="6A7A2736"/>
    <w:rsid w:val="6A7B4B9C"/>
    <w:rsid w:val="6C2C6374"/>
    <w:rsid w:val="6C6B2E5D"/>
    <w:rsid w:val="6C89456C"/>
    <w:rsid w:val="6D231EBE"/>
    <w:rsid w:val="6D4E221F"/>
    <w:rsid w:val="6D612F85"/>
    <w:rsid w:val="6EC915AC"/>
    <w:rsid w:val="6F2150D5"/>
    <w:rsid w:val="6F8C0982"/>
    <w:rsid w:val="6F901B66"/>
    <w:rsid w:val="6F957829"/>
    <w:rsid w:val="6FA629D4"/>
    <w:rsid w:val="6FD10552"/>
    <w:rsid w:val="704522F9"/>
    <w:rsid w:val="70BB2EF0"/>
    <w:rsid w:val="71EC1D42"/>
    <w:rsid w:val="72520A5C"/>
    <w:rsid w:val="72A90FF4"/>
    <w:rsid w:val="72B847CD"/>
    <w:rsid w:val="73455C21"/>
    <w:rsid w:val="73D425F7"/>
    <w:rsid w:val="741D7214"/>
    <w:rsid w:val="750A2023"/>
    <w:rsid w:val="75C57CED"/>
    <w:rsid w:val="76356303"/>
    <w:rsid w:val="763F2884"/>
    <w:rsid w:val="76515E10"/>
    <w:rsid w:val="7676736A"/>
    <w:rsid w:val="767F7268"/>
    <w:rsid w:val="76933951"/>
    <w:rsid w:val="76B0156B"/>
    <w:rsid w:val="771D661B"/>
    <w:rsid w:val="771F7714"/>
    <w:rsid w:val="778A0884"/>
    <w:rsid w:val="78782A0D"/>
    <w:rsid w:val="78D319C1"/>
    <w:rsid w:val="79A2171F"/>
    <w:rsid w:val="79A252FF"/>
    <w:rsid w:val="79B87B65"/>
    <w:rsid w:val="79D33056"/>
    <w:rsid w:val="7B226C12"/>
    <w:rsid w:val="7C26369C"/>
    <w:rsid w:val="7C396F20"/>
    <w:rsid w:val="7C9E5A24"/>
    <w:rsid w:val="7CAC00CB"/>
    <w:rsid w:val="7CC76BD4"/>
    <w:rsid w:val="7D512BF2"/>
    <w:rsid w:val="7D575412"/>
    <w:rsid w:val="7D62117D"/>
    <w:rsid w:val="7DB54254"/>
    <w:rsid w:val="7DB5752C"/>
    <w:rsid w:val="7E03036B"/>
    <w:rsid w:val="7E053373"/>
    <w:rsid w:val="7E281C93"/>
    <w:rsid w:val="7E3E1EF2"/>
    <w:rsid w:val="7E951513"/>
    <w:rsid w:val="7EBC2810"/>
    <w:rsid w:val="7EF7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9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name="header"/>
    <w:lsdException w:qFormat="1" w:uiPriority="99" w:name="footer"/>
    <w:lsdException w:uiPriority="99" w:name="index heading"/>
    <w:lsdException w:uiPriority="99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unhideWhenUsed="0" w:uiPriority="99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Document Map"/>
    <w:basedOn w:val="1"/>
    <w:link w:val="34"/>
    <w:semiHidden/>
    <w:unhideWhenUsed/>
    <w:qFormat/>
    <w:uiPriority w:val="99"/>
    <w:rPr>
      <w:rFonts w:ascii="宋体"/>
      <w:sz w:val="18"/>
      <w:szCs w:val="18"/>
    </w:rPr>
  </w:style>
  <w:style w:type="paragraph" w:styleId="8">
    <w:name w:val="annotation text"/>
    <w:basedOn w:val="1"/>
    <w:link w:val="36"/>
    <w:semiHidden/>
    <w:unhideWhenUsed/>
    <w:qFormat/>
    <w:uiPriority w:val="99"/>
    <w:pPr>
      <w:jc w:val="left"/>
    </w:pPr>
  </w:style>
  <w:style w:type="paragraph" w:styleId="9">
    <w:name w:val="toc 3"/>
    <w:basedOn w:val="1"/>
    <w:next w:val="1"/>
    <w:unhideWhenUsed/>
    <w:qFormat/>
    <w:uiPriority w:val="9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0">
    <w:name w:val="Balloon Text"/>
    <w:basedOn w:val="1"/>
    <w:link w:val="35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semiHidden/>
    <w:qFormat/>
    <w:uiPriority w:val="0"/>
    <w:pPr>
      <w:tabs>
        <w:tab w:val="center" w:pos="4680"/>
        <w:tab w:val="right" w:pos="9360"/>
      </w:tabs>
    </w:pPr>
  </w:style>
  <w:style w:type="paragraph" w:styleId="13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rFonts w:eastAsiaTheme="minorEastAsia"/>
      <w:b/>
      <w:bCs/>
      <w:i/>
      <w:iCs/>
      <w:sz w:val="20"/>
    </w:r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6">
    <w:name w:val="toc 2"/>
    <w:basedOn w:val="1"/>
    <w:next w:val="1"/>
    <w:unhideWhenUsed/>
    <w:qFormat/>
    <w:uiPriority w:val="3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17">
    <w:name w:val="annotation subject"/>
    <w:basedOn w:val="8"/>
    <w:next w:val="8"/>
    <w:link w:val="37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</w:rPr>
  </w:style>
  <w:style w:type="character" w:styleId="22">
    <w:name w:val="Hyperlink"/>
    <w:basedOn w:val="2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qFormat/>
    <w:uiPriority w:val="99"/>
    <w:rPr>
      <w:sz w:val="16"/>
    </w:rPr>
  </w:style>
  <w:style w:type="paragraph" w:customStyle="1" w:styleId="24">
    <w:name w:val="YJ-Observation"/>
    <w:basedOn w:val="25"/>
    <w:qFormat/>
    <w:uiPriority w:val="0"/>
    <w:pPr>
      <w:numPr>
        <w:ilvl w:val="0"/>
        <w:numId w:val="2"/>
      </w:numPr>
      <w:tabs>
        <w:tab w:val="left" w:pos="420"/>
      </w:tabs>
    </w:pPr>
  </w:style>
  <w:style w:type="paragraph" w:customStyle="1" w:styleId="25">
    <w:name w:val="YJ-Proposal"/>
    <w:basedOn w:val="1"/>
    <w:qFormat/>
    <w:uiPriority w:val="0"/>
    <w:pPr>
      <w:numPr>
        <w:ilvl w:val="0"/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26">
    <w:name w:val="sub-proposal"/>
    <w:basedOn w:val="25"/>
    <w:next w:val="1"/>
    <w:qFormat/>
    <w:uiPriority w:val="0"/>
    <w:pPr>
      <w:numPr>
        <w:numId w:val="4"/>
      </w:numPr>
      <w:tabs>
        <w:tab w:val="left" w:pos="420"/>
        <w:tab w:val="left" w:pos="807"/>
      </w:tabs>
      <w:ind w:left="862" w:leftChars="200" w:hanging="442" w:hangingChars="200"/>
    </w:pPr>
  </w:style>
  <w:style w:type="paragraph" w:customStyle="1" w:styleId="27">
    <w:name w:val="sub-observation"/>
    <w:basedOn w:val="26"/>
    <w:next w:val="1"/>
    <w:qFormat/>
    <w:uiPriority w:val="0"/>
  </w:style>
  <w:style w:type="paragraph" w:customStyle="1" w:styleId="28">
    <w:name w:val="3rd level proposal"/>
    <w:basedOn w:val="26"/>
    <w:next w:val="1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29">
    <w:name w:val="3rd level observation"/>
    <w:basedOn w:val="27"/>
    <w:qFormat/>
    <w:uiPriority w:val="0"/>
    <w:pPr>
      <w:numPr>
        <w:ilvl w:val="0"/>
        <w:numId w:val="6"/>
      </w:numPr>
      <w:ind w:left="1282" w:leftChars="400" w:hanging="442"/>
    </w:pPr>
  </w:style>
  <w:style w:type="paragraph" w:customStyle="1" w:styleId="30">
    <w:name w:val="References"/>
    <w:basedOn w:val="1"/>
    <w:qFormat/>
    <w:uiPriority w:val="0"/>
    <w:pPr>
      <w:numPr>
        <w:ilvl w:val="0"/>
        <w:numId w:val="7"/>
      </w:numPr>
      <w:spacing w:after="60"/>
    </w:pPr>
    <w:rPr>
      <w:szCs w:val="16"/>
    </w:rPr>
  </w:style>
  <w:style w:type="paragraph" w:styleId="31">
    <w:name w:val="List Paragraph"/>
    <w:basedOn w:val="1"/>
    <w:qFormat/>
    <w:uiPriority w:val="34"/>
    <w:pPr>
      <w:spacing w:beforeLines="0"/>
      <w:ind w:left="720"/>
      <w:contextualSpacing/>
    </w:pPr>
    <w:rPr>
      <w:rFonts w:eastAsia="Times New Roman"/>
      <w:sz w:val="24"/>
      <w:szCs w:val="24"/>
    </w:rPr>
  </w:style>
  <w:style w:type="paragraph" w:customStyle="1" w:styleId="32">
    <w:name w:val="样式1"/>
    <w:basedOn w:val="1"/>
    <w:qFormat/>
    <w:uiPriority w:val="0"/>
  </w:style>
  <w:style w:type="paragraph" w:customStyle="1" w:styleId="33">
    <w:name w:val="样式2"/>
    <w:basedOn w:val="1"/>
    <w:qFormat/>
    <w:uiPriority w:val="0"/>
  </w:style>
  <w:style w:type="character" w:customStyle="1" w:styleId="34">
    <w:name w:val="文档结构图 Char"/>
    <w:basedOn w:val="20"/>
    <w:link w:val="7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35">
    <w:name w:val="批注框文本 Char"/>
    <w:basedOn w:val="20"/>
    <w:link w:val="10"/>
    <w:semiHidden/>
    <w:qFormat/>
    <w:uiPriority w:val="99"/>
    <w:rPr>
      <w:kern w:val="2"/>
      <w:sz w:val="18"/>
      <w:szCs w:val="18"/>
    </w:rPr>
  </w:style>
  <w:style w:type="character" w:customStyle="1" w:styleId="36">
    <w:name w:val="批注文字 Char"/>
    <w:basedOn w:val="20"/>
    <w:link w:val="8"/>
    <w:semiHidden/>
    <w:qFormat/>
    <w:uiPriority w:val="99"/>
    <w:rPr>
      <w:kern w:val="2"/>
      <w:sz w:val="21"/>
    </w:rPr>
  </w:style>
  <w:style w:type="character" w:customStyle="1" w:styleId="37">
    <w:name w:val="批注主题 Char"/>
    <w:basedOn w:val="36"/>
    <w:link w:val="17"/>
    <w:qFormat/>
    <w:uiPriority w:val="0"/>
  </w:style>
  <w:style w:type="paragraph" w:customStyle="1" w:styleId="3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39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40">
    <w:name w:val="B1"/>
    <w:basedOn w:val="14"/>
    <w:qFormat/>
    <w:uiPriority w:val="0"/>
  </w:style>
  <w:style w:type="character" w:customStyle="1" w:styleId="41">
    <w:name w:val="fontstyle01"/>
    <w:basedOn w:val="20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42">
    <w:name w:val="B2"/>
    <w:basedOn w:val="1"/>
    <w:qFormat/>
    <w:uiPriority w:val="0"/>
    <w:pPr>
      <w:ind w:left="851" w:hanging="284"/>
    </w:pPr>
    <w:rPr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6</Pages>
  <Words>2513</Words>
  <Characters>14272</Characters>
  <Lines>125</Lines>
  <Paragraphs>35</Paragraphs>
  <TotalTime>1</TotalTime>
  <ScaleCrop>false</ScaleCrop>
  <LinksUpToDate>false</LinksUpToDate>
  <CharactersWithSpaces>16701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2021-01-17T13:40:00Z</dcterms:created>
  <dc:creator>ZTE</dc:creator>
  <cp:lastModifiedBy>ZTE_xwm</cp:lastModifiedBy>
  <dcterms:modified xsi:type="dcterms:W3CDTF">2021-04-06T03:40:32Z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